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A29E7" w14:textId="77777777" w:rsidR="0082205D" w:rsidRPr="00F244E8" w:rsidRDefault="00977276" w:rsidP="00F244E8">
      <w:pPr>
        <w:ind w:left="2835"/>
        <w:rPr>
          <w:rFonts w:asciiTheme="minorHAnsi" w:eastAsia="Times New Roman CYR" w:hAnsiTheme="minorHAnsi" w:cstheme="minorHAnsi"/>
          <w:color w:val="1C1C1C"/>
          <w:sz w:val="20"/>
          <w:szCs w:val="20"/>
        </w:rPr>
      </w:pPr>
      <w:bookmarkStart w:id="0" w:name="_GoBack"/>
      <w:bookmarkEnd w:id="0"/>
      <w:r w:rsidRPr="00F244E8">
        <w:rPr>
          <w:rFonts w:asciiTheme="minorHAnsi" w:eastAsia="Times New Roman CYR" w:hAnsiTheme="minorHAnsi" w:cstheme="minorHAnsi"/>
          <w:color w:val="1C1C1C"/>
          <w:sz w:val="20"/>
          <w:szCs w:val="20"/>
        </w:rPr>
        <w:t xml:space="preserve">Руководителю Главного управления Московской области </w:t>
      </w:r>
    </w:p>
    <w:p w14:paraId="78968C1C" w14:textId="77777777" w:rsidR="0082205D" w:rsidRPr="00F244E8" w:rsidRDefault="00977276" w:rsidP="00F244E8">
      <w:pPr>
        <w:ind w:left="2835"/>
        <w:rPr>
          <w:rFonts w:asciiTheme="minorHAnsi" w:hAnsiTheme="minorHAnsi" w:cstheme="minorHAnsi"/>
          <w:color w:val="1C1C1C"/>
          <w:sz w:val="20"/>
          <w:szCs w:val="20"/>
        </w:rPr>
      </w:pPr>
      <w:r w:rsidRPr="00F244E8">
        <w:rPr>
          <w:rFonts w:asciiTheme="minorHAnsi" w:hAnsiTheme="minorHAnsi" w:cstheme="minorHAnsi"/>
          <w:color w:val="1C1C1C"/>
          <w:sz w:val="20"/>
          <w:szCs w:val="20"/>
        </w:rPr>
        <w:t>«</w:t>
      </w:r>
      <w:r w:rsidRPr="00F244E8">
        <w:rPr>
          <w:rFonts w:asciiTheme="minorHAnsi" w:eastAsia="Times New Roman CYR" w:hAnsiTheme="minorHAnsi" w:cstheme="minorHAnsi"/>
          <w:color w:val="1C1C1C"/>
          <w:sz w:val="20"/>
          <w:szCs w:val="20"/>
        </w:rPr>
        <w:t>Государственная жилищная инспекция Московской области</w:t>
      </w:r>
      <w:r w:rsidRPr="00F244E8">
        <w:rPr>
          <w:rFonts w:asciiTheme="minorHAnsi" w:hAnsiTheme="minorHAnsi" w:cstheme="minorHAnsi"/>
          <w:color w:val="1C1C1C"/>
          <w:sz w:val="20"/>
          <w:szCs w:val="20"/>
        </w:rPr>
        <w:t xml:space="preserve">» </w:t>
      </w:r>
    </w:p>
    <w:p w14:paraId="4289FE7D" w14:textId="77777777" w:rsidR="0082205D" w:rsidRPr="00F244E8" w:rsidRDefault="00977276" w:rsidP="00F244E8">
      <w:pPr>
        <w:ind w:left="2835"/>
        <w:rPr>
          <w:rFonts w:asciiTheme="minorHAnsi" w:eastAsia="Times New Roman CYR" w:hAnsiTheme="minorHAnsi" w:cstheme="minorHAnsi"/>
          <w:color w:val="1C1C1C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1C1C1C"/>
          <w:sz w:val="20"/>
          <w:szCs w:val="20"/>
        </w:rPr>
        <w:t xml:space="preserve">в ранге министра — Главному государственному жилищному инспектору </w:t>
      </w:r>
    </w:p>
    <w:p w14:paraId="42F4E60A" w14:textId="77777777" w:rsidR="0082205D" w:rsidRPr="00F244E8" w:rsidRDefault="00977276" w:rsidP="00F244E8">
      <w:pPr>
        <w:ind w:left="2835"/>
        <w:rPr>
          <w:rFonts w:asciiTheme="minorHAnsi" w:eastAsia="Times New Roman CYR" w:hAnsiTheme="minorHAnsi" w:cstheme="minorHAnsi"/>
          <w:color w:val="1C1C1C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1C1C1C"/>
          <w:sz w:val="20"/>
          <w:szCs w:val="20"/>
        </w:rPr>
        <w:t>Московской области</w:t>
      </w:r>
    </w:p>
    <w:p w14:paraId="4829E54C" w14:textId="77777777" w:rsidR="0082205D" w:rsidRPr="00F244E8" w:rsidRDefault="00977276" w:rsidP="00F244E8">
      <w:pPr>
        <w:ind w:left="2835"/>
        <w:rPr>
          <w:rFonts w:asciiTheme="minorHAnsi" w:eastAsia="Times New Roman CYR" w:hAnsiTheme="minorHAnsi" w:cstheme="minorHAnsi"/>
          <w:color w:val="1C1C1C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1C1C1C"/>
          <w:sz w:val="20"/>
          <w:szCs w:val="20"/>
        </w:rPr>
        <w:t>Сокову Вадиму Викторовичу</w:t>
      </w:r>
    </w:p>
    <w:p w14:paraId="0A4E8262" w14:textId="77777777" w:rsidR="0082205D" w:rsidRPr="00F244E8" w:rsidRDefault="0082205D" w:rsidP="00F244E8">
      <w:pPr>
        <w:ind w:left="2835"/>
        <w:rPr>
          <w:rFonts w:asciiTheme="minorHAnsi" w:hAnsiTheme="minorHAnsi" w:cstheme="minorHAnsi"/>
          <w:color w:val="1C1C1C"/>
          <w:sz w:val="20"/>
          <w:szCs w:val="20"/>
          <w:u w:val="single"/>
        </w:rPr>
      </w:pPr>
    </w:p>
    <w:p w14:paraId="00ECA10D" w14:textId="77777777" w:rsidR="0082205D" w:rsidRPr="00F244E8" w:rsidRDefault="00977276" w:rsidP="00F244E8">
      <w:pPr>
        <w:ind w:left="2835"/>
        <w:rPr>
          <w:rFonts w:asciiTheme="minorHAnsi" w:eastAsia="Times New Roman CYR" w:hAnsiTheme="minorHAnsi" w:cstheme="minorHAnsi"/>
          <w:color w:val="363636"/>
          <w:sz w:val="20"/>
          <w:szCs w:val="20"/>
        </w:rPr>
      </w:pPr>
      <w:r w:rsidRPr="00F244E8">
        <w:rPr>
          <w:rFonts w:asciiTheme="minorHAnsi" w:hAnsiTheme="minorHAnsi" w:cstheme="minorHAnsi"/>
          <w:color w:val="363636"/>
          <w:sz w:val="20"/>
          <w:szCs w:val="20"/>
        </w:rPr>
        <w:t xml:space="preserve">123592, </w:t>
      </w:r>
      <w:r w:rsidRPr="00F244E8">
        <w:rPr>
          <w:rFonts w:asciiTheme="minorHAnsi" w:eastAsia="Times New Roman CYR" w:hAnsiTheme="minorHAnsi" w:cstheme="minorHAnsi"/>
          <w:color w:val="363636"/>
          <w:sz w:val="20"/>
          <w:szCs w:val="20"/>
        </w:rPr>
        <w:t xml:space="preserve">г. Москва, ул. Кулакова, </w:t>
      </w:r>
    </w:p>
    <w:p w14:paraId="10EB3316" w14:textId="77777777" w:rsidR="0082205D" w:rsidRPr="00F244E8" w:rsidRDefault="00977276" w:rsidP="00F244E8">
      <w:pPr>
        <w:ind w:left="2835"/>
        <w:rPr>
          <w:rFonts w:asciiTheme="minorHAnsi" w:hAnsiTheme="minorHAnsi" w:cstheme="minorHAnsi"/>
          <w:color w:val="1C1C1C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363636"/>
          <w:sz w:val="20"/>
          <w:szCs w:val="20"/>
        </w:rPr>
        <w:t xml:space="preserve">д. 20, корп.1, технопарк </w:t>
      </w:r>
      <w:r w:rsidRPr="00F244E8">
        <w:rPr>
          <w:rFonts w:asciiTheme="minorHAnsi" w:hAnsiTheme="minorHAnsi" w:cstheme="minorHAnsi"/>
          <w:color w:val="363636"/>
          <w:sz w:val="20"/>
          <w:szCs w:val="20"/>
        </w:rPr>
        <w:t>«</w:t>
      </w:r>
      <w:r w:rsidRPr="00F244E8">
        <w:rPr>
          <w:rFonts w:asciiTheme="minorHAnsi" w:eastAsia="Times New Roman CYR" w:hAnsiTheme="minorHAnsi" w:cstheme="minorHAnsi"/>
          <w:color w:val="363636"/>
          <w:sz w:val="20"/>
          <w:szCs w:val="20"/>
        </w:rPr>
        <w:t>Орбита-2</w:t>
      </w:r>
      <w:r w:rsidRPr="00F244E8">
        <w:rPr>
          <w:rFonts w:asciiTheme="minorHAnsi" w:hAnsiTheme="minorHAnsi" w:cstheme="minorHAnsi"/>
          <w:color w:val="363636"/>
          <w:sz w:val="20"/>
          <w:szCs w:val="20"/>
        </w:rPr>
        <w:t>»</w:t>
      </w:r>
      <w:r w:rsidRPr="00F244E8">
        <w:rPr>
          <w:rFonts w:asciiTheme="minorHAnsi" w:hAnsiTheme="minorHAnsi" w:cstheme="minorHAnsi"/>
          <w:color w:val="1C1C1C"/>
          <w:sz w:val="20"/>
          <w:szCs w:val="20"/>
        </w:rPr>
        <w:t xml:space="preserve"> </w:t>
      </w:r>
    </w:p>
    <w:p w14:paraId="2A1391C9" w14:textId="77777777" w:rsidR="0082205D" w:rsidRPr="00F244E8" w:rsidRDefault="0082205D" w:rsidP="00F244E8">
      <w:pPr>
        <w:ind w:left="2835"/>
        <w:rPr>
          <w:rFonts w:asciiTheme="minorHAnsi" w:hAnsiTheme="minorHAnsi" w:cstheme="minorHAnsi"/>
          <w:color w:val="1C1C1C"/>
          <w:sz w:val="20"/>
          <w:szCs w:val="20"/>
        </w:rPr>
      </w:pPr>
    </w:p>
    <w:p w14:paraId="4BCC933D" w14:textId="77777777" w:rsidR="0082205D" w:rsidRPr="00F244E8" w:rsidRDefault="00977276" w:rsidP="00F244E8">
      <w:pPr>
        <w:ind w:left="2835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>от гр.___________________________</w:t>
      </w:r>
    </w:p>
    <w:p w14:paraId="02396ABC" w14:textId="77777777" w:rsidR="0082205D" w:rsidRPr="00F244E8" w:rsidRDefault="00977276" w:rsidP="00F244E8">
      <w:pPr>
        <w:ind w:left="2835"/>
        <w:rPr>
          <w:rFonts w:asciiTheme="minorHAnsi" w:eastAsia="Times New Roman CYR" w:hAnsiTheme="minorHAnsi" w:cstheme="minorHAnsi"/>
          <w:b/>
          <w:i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проживающего по адресу: 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Московская область, Одинцовский район, с. Немчиновка, ул. _______________________</w:t>
      </w:r>
    </w:p>
    <w:p w14:paraId="6FC068BD" w14:textId="77777777" w:rsidR="0082205D" w:rsidRPr="00F244E8" w:rsidRDefault="0082205D" w:rsidP="00F244E8">
      <w:pPr>
        <w:tabs>
          <w:tab w:val="left" w:pos="3828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14:paraId="0523D203" w14:textId="77777777" w:rsidR="00F244E8" w:rsidRPr="00F244E8" w:rsidRDefault="00F244E8" w:rsidP="00F244E8">
      <w:pPr>
        <w:tabs>
          <w:tab w:val="left" w:pos="3828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14:paraId="65AF6F9F" w14:textId="77777777" w:rsidR="0082205D" w:rsidRPr="00F244E8" w:rsidRDefault="0082205D" w:rsidP="00F244E8">
      <w:pPr>
        <w:tabs>
          <w:tab w:val="left" w:pos="3828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14:paraId="165A0519" w14:textId="45A7FD74" w:rsidR="0082205D" w:rsidRPr="00F244E8" w:rsidRDefault="00977276" w:rsidP="00F244E8">
      <w:pPr>
        <w:jc w:val="center"/>
        <w:rPr>
          <w:rFonts w:asciiTheme="minorHAnsi" w:eastAsia="Times New Roman CYR" w:hAnsiTheme="minorHAnsi" w:cstheme="minorHAnsi"/>
          <w:b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b/>
          <w:sz w:val="20"/>
          <w:szCs w:val="20"/>
        </w:rPr>
        <w:t xml:space="preserve">Уважаемый Вадим </w:t>
      </w:r>
      <w:r w:rsidR="00691A3C" w:rsidRPr="00F244E8">
        <w:rPr>
          <w:rFonts w:asciiTheme="minorHAnsi" w:eastAsia="Times New Roman CYR" w:hAnsiTheme="minorHAnsi" w:cstheme="minorHAnsi"/>
          <w:b/>
          <w:sz w:val="20"/>
          <w:szCs w:val="20"/>
        </w:rPr>
        <w:t>Викторович!</w:t>
      </w:r>
    </w:p>
    <w:p w14:paraId="16825DDC" w14:textId="77777777" w:rsidR="0082205D" w:rsidRPr="00F244E8" w:rsidRDefault="0082205D" w:rsidP="00F244E8">
      <w:pPr>
        <w:rPr>
          <w:rFonts w:asciiTheme="minorHAnsi" w:hAnsiTheme="minorHAnsi" w:cstheme="minorHAnsi"/>
          <w:b/>
          <w:sz w:val="20"/>
          <w:szCs w:val="20"/>
        </w:rPr>
      </w:pPr>
    </w:p>
    <w:p w14:paraId="194B9F1D" w14:textId="77777777" w:rsidR="00F244E8" w:rsidRPr="00F244E8" w:rsidRDefault="00F244E8" w:rsidP="00F244E8">
      <w:pPr>
        <w:rPr>
          <w:rFonts w:asciiTheme="minorHAnsi" w:hAnsiTheme="minorHAnsi" w:cstheme="minorHAnsi"/>
          <w:b/>
          <w:sz w:val="20"/>
          <w:szCs w:val="20"/>
        </w:rPr>
      </w:pPr>
    </w:p>
    <w:p w14:paraId="2257893B" w14:textId="6A79500B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В силу положений ст.2 Жилищного Кодекса Российской Федерации (далее - ЖК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РФ) органы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 и обеспечивают защиту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фонда.</w:t>
      </w:r>
    </w:p>
    <w:p w14:paraId="13385AC7" w14:textId="1F932EBB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Вопросы предупреждения, выявления и пресечения нарушений жилищного   законодательства, в том числе и в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части оказания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населению жилищно-коммунальных услуг (далее - ЖКХ) постановлением Правительства РФ от 11.06.2013 N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493 «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О государственном жилищном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надзоре» отнесены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к компетенции государственного жилищного надзора.</w:t>
      </w:r>
    </w:p>
    <w:p w14:paraId="73FF3C90" w14:textId="77777777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Однако, на протяжении более чем трех лет права и законные интересы жителей многоквартирных жилых домов (далее - МКД), расположенных по следующим адресам:    </w:t>
      </w:r>
    </w:p>
    <w:p w14:paraId="21C349F7" w14:textId="4EA2CA1C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Московская область, Одинцовский район, с. Немчиновка, ул. Связистов, д. 1, д. 2, д. 4, д. 5, д.6, д.9, д.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11, Советский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проспект, д.98, д.100, д.102, д.104, д.106</w:t>
      </w:r>
    </w:p>
    <w:p w14:paraId="5BF940B3" w14:textId="77777777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неоднократно были нарушены.</w:t>
      </w:r>
    </w:p>
    <w:p w14:paraId="0434072C" w14:textId="4D9B12D7" w:rsidR="0082205D" w:rsidRPr="00F244E8" w:rsidRDefault="00977276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В период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с 2010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года по 2015 год на основании заключенного с застройщиком ОАО «494-УНР» договора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вышеуказанными МКД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управляла управляющая компания ООО «ТЭК-Дом». </w:t>
      </w:r>
    </w:p>
    <w:p w14:paraId="5B03C4ED" w14:textId="77777777" w:rsidR="0082205D" w:rsidRPr="00F244E8" w:rsidRDefault="00977276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У лиц, получивших жилые помещения от застройщика, также были заключены договора управления с этой управляющей компанией.   </w:t>
      </w:r>
    </w:p>
    <w:p w14:paraId="3AA69CCD" w14:textId="02ABB567" w:rsidR="0082205D" w:rsidRPr="00F244E8" w:rsidRDefault="00977276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С 1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мая 2015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года согласно положениям Федерального закона Российской Федерации от 21 июля 2014 г. № 255-ФЗ лицензирование управляющих компаний в сфере ЖКХ стало обязательным. </w:t>
      </w:r>
    </w:p>
    <w:p w14:paraId="24DA431C" w14:textId="09A09CF9" w:rsidR="0082205D" w:rsidRPr="00F244E8" w:rsidRDefault="00691A3C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На 1</w:t>
      </w:r>
      <w:r w:rsidR="00977276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мая 2015 г. у ООО «ТЭК-Дом» указанная лицензия отсутствовала. </w:t>
      </w:r>
    </w:p>
    <w:p w14:paraId="644D4C75" w14:textId="77777777" w:rsidR="0082205D" w:rsidRPr="00F244E8" w:rsidRDefault="00977276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В соответствии со ст.161 ЖК РФ в качестве управляющей организации для управления многоквартирными домами по итогам открытого конкурса, проведенного органами местного самоуправления, была отобрана управляющая организация ООО «РЭП Немчиновка».</w:t>
      </w:r>
    </w:p>
    <w:p w14:paraId="047B02B1" w14:textId="12B64B50" w:rsidR="0082205D" w:rsidRPr="00F244E8" w:rsidRDefault="00977276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ООО «ТЭК-Дом» получило необходимую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лицензию 14</w:t>
      </w:r>
      <w:r w:rsidRPr="00F244E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октября 2015 г. и в конкурсе участие не принимала.</w:t>
      </w:r>
    </w:p>
    <w:p w14:paraId="7E230023" w14:textId="383A1B07" w:rsidR="0082205D" w:rsidRPr="00F244E8" w:rsidRDefault="00691A3C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Однако, и</w:t>
      </w:r>
      <w:r w:rsidR="00977276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после 1 мая 2015 г. и даже после подведения итогов конкурса 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управляющая компания</w:t>
      </w:r>
      <w:r w:rsidR="00977276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ООО «ТЭК-Дом» продолжила осуществлять управление вышеуказанными МКД. Тогда как, ООО «РЭП Немчиновка» </w:t>
      </w:r>
      <w:r w:rsidR="00977276"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к управлению домами не приступило в связи с отсутствием заключенных договоров с ресурсо-снабжающими организациями (далее — РСО). </w:t>
      </w:r>
    </w:p>
    <w:p w14:paraId="1FC935A1" w14:textId="2FE00204" w:rsidR="0082205D" w:rsidRPr="00F244E8" w:rsidRDefault="00977276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Тем не менее, с мая 2015 г. жители вышеуказанных МКД стали получать одновременно два платежных документа от двух разных управляющих </w:t>
      </w:r>
      <w:r w:rsidR="00691A3C" w:rsidRPr="00F244E8">
        <w:rPr>
          <w:rFonts w:asciiTheme="minorHAnsi" w:eastAsia="Times New Roman CYR" w:hAnsiTheme="minorHAnsi" w:cstheme="minorHAnsi"/>
          <w:sz w:val="20"/>
          <w:szCs w:val="20"/>
        </w:rPr>
        <w:t>компаний: ООО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 «ТЭК-Дом» и 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ООО «РЭП Немчиновка» (в дальнейшем 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>в порядке правопреемства - АО «Одинцовские Теплосети»).</w:t>
      </w:r>
    </w:p>
    <w:p w14:paraId="051B1F28" w14:textId="631AF6EB" w:rsidR="0082205D" w:rsidRPr="00F244E8" w:rsidRDefault="00977276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По итогам новых открытых конкурсов, проведенных органами местного самоуправления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 в апреле 2018 года (для многоквартирных домов по ул. Связистов, д.1, Советский пр-т, д.98, Советский пр-т, д.100) и в августе 2018 года (для остальных домов), 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в качестве управляющей организации для управления вышеуказанными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МКД была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отобрана управляющая организация ООО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 «Чистый Город». </w:t>
      </w:r>
    </w:p>
    <w:p w14:paraId="7C8707D0" w14:textId="77777777" w:rsidR="0082205D" w:rsidRPr="00F244E8" w:rsidRDefault="00977276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С момента подведения итогов новых конкурсов и по настоящее время жители 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вышеуказанных МКД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 получают одновременно два платежных документа от двух разных управляющих компаний: ООО «ТЭК-Дом» и ООО «Чистый город». </w:t>
      </w:r>
    </w:p>
    <w:p w14:paraId="63439EF0" w14:textId="6253680B" w:rsidR="0082205D" w:rsidRPr="00F244E8" w:rsidRDefault="00977276" w:rsidP="00F244E8">
      <w:pPr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Из данных платежных документов следует, что управляющая компания ООО «Чистый город» оказывает жителям многоквартирных домов по ул. Связистов, д.1, Советский пр-т, д.98, Советский пр-т, д.100, услугу, обозначенную как </w:t>
      </w:r>
      <w:r w:rsidRPr="00F244E8">
        <w:rPr>
          <w:rFonts w:asciiTheme="minorHAnsi" w:hAnsiTheme="minorHAnsi" w:cstheme="minorHAnsi"/>
          <w:sz w:val="20"/>
          <w:szCs w:val="20"/>
        </w:rPr>
        <w:t>«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>текущее техническое обслуживание» и поставку коммунального ресурса в виде электроэнергии</w:t>
      </w:r>
      <w:r w:rsidRPr="00F244E8">
        <w:rPr>
          <w:rFonts w:asciiTheme="minorHAnsi" w:hAnsiTheme="minorHAnsi" w:cstheme="minorHAnsi"/>
          <w:sz w:val="20"/>
          <w:szCs w:val="20"/>
        </w:rPr>
        <w:t xml:space="preserve">, </w:t>
      </w:r>
      <w:r w:rsidR="00691A3C" w:rsidRPr="00F244E8">
        <w:rPr>
          <w:rFonts w:asciiTheme="minorHAnsi" w:eastAsia="Times New Roman CYR" w:hAnsiTheme="minorHAnsi" w:cstheme="minorHAnsi"/>
          <w:sz w:val="20"/>
          <w:szCs w:val="20"/>
        </w:rPr>
        <w:t>а жителям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 остальных домов -  только </w:t>
      </w:r>
      <w:r w:rsidRPr="00F244E8">
        <w:rPr>
          <w:rFonts w:asciiTheme="minorHAnsi" w:hAnsiTheme="minorHAnsi" w:cstheme="minorHAnsi"/>
          <w:sz w:val="20"/>
          <w:szCs w:val="20"/>
        </w:rPr>
        <w:t>«</w:t>
      </w:r>
      <w:r w:rsidR="00691A3C" w:rsidRPr="00F244E8">
        <w:rPr>
          <w:rFonts w:asciiTheme="minorHAnsi" w:eastAsia="Times New Roman CYR" w:hAnsiTheme="minorHAnsi" w:cstheme="minorHAnsi"/>
          <w:sz w:val="20"/>
          <w:szCs w:val="20"/>
        </w:rPr>
        <w:t>текущее техническое обслуживание</w:t>
      </w:r>
      <w:r w:rsidRPr="00F244E8">
        <w:rPr>
          <w:rFonts w:asciiTheme="minorHAnsi" w:hAnsiTheme="minorHAnsi" w:cstheme="minorHAnsi"/>
          <w:sz w:val="20"/>
          <w:szCs w:val="20"/>
        </w:rPr>
        <w:t xml:space="preserve">». </w:t>
      </w:r>
    </w:p>
    <w:p w14:paraId="34353814" w14:textId="6B61F3D3" w:rsidR="0082205D" w:rsidRPr="00F244E8" w:rsidRDefault="00977276" w:rsidP="00F244E8">
      <w:pPr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lastRenderedPageBreak/>
        <w:t xml:space="preserve">По моему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мнению, платежный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документ, выставляемый ООО «Чистый город» не соответствует требованиям ст. 154 ЖК РФ, п. 69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</w:t>
      </w:r>
      <w:r w:rsidRPr="00F244E8">
        <w:rPr>
          <w:rFonts w:asciiTheme="minorHAnsi" w:hAnsiTheme="minorHAnsi" w:cstheme="minorHAnsi"/>
          <w:color w:val="000000"/>
          <w:sz w:val="20"/>
          <w:szCs w:val="20"/>
          <w:lang w:val="en-US"/>
        </w:rPr>
        <w:t> </w:t>
      </w:r>
      <w:r w:rsidR="00691A3C" w:rsidRPr="00F244E8">
        <w:rPr>
          <w:rFonts w:asciiTheme="minorHAnsi" w:hAnsiTheme="minorHAnsi" w:cstheme="minorHAnsi"/>
          <w:color w:val="000000"/>
          <w:sz w:val="20"/>
          <w:szCs w:val="20"/>
        </w:rPr>
        <w:t>354, в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части наличия непредусмотренной жилищным законодательством услуги</w:t>
      </w:r>
      <w:r w:rsidRPr="00F244E8">
        <w:rPr>
          <w:rFonts w:asciiTheme="minorHAnsi" w:hAnsiTheme="minorHAnsi" w:cstheme="minorHAnsi"/>
          <w:sz w:val="20"/>
          <w:szCs w:val="20"/>
        </w:rPr>
        <w:t xml:space="preserve"> «</w:t>
      </w:r>
      <w:r w:rsidR="00691A3C" w:rsidRPr="00F244E8">
        <w:rPr>
          <w:rFonts w:asciiTheme="minorHAnsi" w:eastAsia="Times New Roman CYR" w:hAnsiTheme="minorHAnsi" w:cstheme="minorHAnsi"/>
          <w:sz w:val="20"/>
          <w:szCs w:val="20"/>
        </w:rPr>
        <w:t>текущее техническое обслуживание</w:t>
      </w:r>
      <w:r w:rsidRPr="00F244E8">
        <w:rPr>
          <w:rFonts w:asciiTheme="minorHAnsi" w:hAnsiTheme="minorHAnsi" w:cstheme="minorHAnsi"/>
          <w:sz w:val="20"/>
          <w:szCs w:val="20"/>
        </w:rPr>
        <w:t xml:space="preserve">». </w:t>
      </w:r>
    </w:p>
    <w:p w14:paraId="78B51767" w14:textId="77777777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b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Согласно платежным документам, выставляемым ООО «ТЭК-Дом», эта организация оказывает весь спектр коммунальных услуг, включая содержание и ремонт жилых помещений, а также поставку всех коммунальных ресурсов жителям МКД.  </w:t>
      </w:r>
    </w:p>
    <w:p w14:paraId="564FB6D7" w14:textId="772525FC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FF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Перечисленные особенности платежных документов объективно отражают ситуацию с отсутствием у ООО «Чистый город» договора с РСО в лице ООО «Теплоэнергосервис» на поставку ресурсов в виде отопления, водоснабжения (ГВС, ХВС), водоотведения, а также противоречивую ситуацию в </w:t>
      </w:r>
      <w:r w:rsidR="00691A3C" w:rsidRPr="00F244E8">
        <w:rPr>
          <w:rFonts w:asciiTheme="minorHAnsi" w:eastAsia="Times New Roman CYR" w:hAnsiTheme="minorHAnsi" w:cstheme="minorHAnsi"/>
          <w:sz w:val="20"/>
          <w:szCs w:val="20"/>
        </w:rPr>
        <w:t>части договоров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с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РСО в лице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АО «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Мосэнергосбыт</w:t>
      </w:r>
      <w:r w:rsidRPr="00F244E8">
        <w:rPr>
          <w:rFonts w:asciiTheme="minorHAnsi" w:hAnsiTheme="minorHAnsi" w:cstheme="minorHAnsi"/>
          <w:color w:val="000000"/>
          <w:sz w:val="20"/>
          <w:szCs w:val="20"/>
        </w:rPr>
        <w:t xml:space="preserve">» 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на поставку электроэнергии.</w:t>
      </w:r>
      <w:r w:rsidRPr="00F244E8">
        <w:rPr>
          <w:rFonts w:asciiTheme="minorHAnsi" w:eastAsia="Times New Roman CYR" w:hAnsiTheme="minorHAnsi" w:cstheme="minorHAnsi"/>
          <w:color w:val="FF0000"/>
          <w:sz w:val="20"/>
          <w:szCs w:val="20"/>
        </w:rPr>
        <w:t xml:space="preserve"> </w:t>
      </w:r>
    </w:p>
    <w:p w14:paraId="4B2629A6" w14:textId="153BE736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FF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>Напротив, ООО «ТЭК-Дом» имеет заключенные договора с ООО «</w:t>
      </w:r>
      <w:r w:rsidR="00691A3C" w:rsidRPr="00F244E8">
        <w:rPr>
          <w:rFonts w:asciiTheme="minorHAnsi" w:eastAsia="Times New Roman CYR" w:hAnsiTheme="minorHAnsi" w:cstheme="minorHAnsi"/>
          <w:sz w:val="20"/>
          <w:szCs w:val="20"/>
        </w:rPr>
        <w:t>Теплоэнергосервис» на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 поставку ресурсов в виде отопления, водоснабжения (ГВС, ХВС) и водоотведения.</w:t>
      </w:r>
    </w:p>
    <w:p w14:paraId="1218B374" w14:textId="18E94BC0" w:rsidR="0082205D" w:rsidRPr="00F244E8" w:rsidRDefault="00691A3C" w:rsidP="00F244E8">
      <w:pPr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>Из многочисленных</w:t>
      </w:r>
      <w:r w:rsidR="00977276"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 ответов </w:t>
      </w:r>
      <w:r w:rsidR="00977276" w:rsidRPr="00F244E8">
        <w:rPr>
          <w:rFonts w:asciiTheme="minorHAnsi" w:hAnsiTheme="minorHAnsi" w:cstheme="minorHAnsi"/>
          <w:sz w:val="20"/>
          <w:szCs w:val="20"/>
        </w:rPr>
        <w:t>«</w:t>
      </w:r>
      <w:r w:rsidR="00977276" w:rsidRPr="00F244E8">
        <w:rPr>
          <w:rFonts w:asciiTheme="minorHAnsi" w:eastAsia="Times New Roman CYR" w:hAnsiTheme="minorHAnsi" w:cstheme="minorHAnsi"/>
          <w:sz w:val="20"/>
          <w:szCs w:val="20"/>
        </w:rPr>
        <w:t>Государственной жилищной инспекции Московской области</w:t>
      </w:r>
      <w:r w:rsidR="00977276" w:rsidRPr="00F244E8">
        <w:rPr>
          <w:rFonts w:asciiTheme="minorHAnsi" w:hAnsiTheme="minorHAnsi" w:cstheme="minorHAnsi"/>
          <w:sz w:val="20"/>
          <w:szCs w:val="20"/>
        </w:rPr>
        <w:t>» (</w:t>
      </w:r>
      <w:r w:rsidR="00977276"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далее - ГЖИ) на обращения жителей следует, что в настоящее время органы ГЖИ единственной легитимной компанией считают ООО «Чистый город», что подтверждается сведениями, размещенными в реестре лицензий субъекта 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>Российской</w:t>
      </w:r>
      <w:r w:rsidR="00977276"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 Федерации. </w:t>
      </w:r>
    </w:p>
    <w:p w14:paraId="58A91D11" w14:textId="77777777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Органы ГЖИ считают, что в нарушение жилищного законодательства ООО «ТЭК-Дом» выставляет платежные документы жителям к оплате «не имея законных оснований для управления МКД». Однако, никаких процессуальных документов, подтверждающих реагирование и принятие мер пресечения незаконно, по мнению ГЖИ, выставляемых платежных документов, и иных мер для устранения сложившейся ситуации, в ответах ГЖИ не представлено. </w:t>
      </w:r>
    </w:p>
    <w:p w14:paraId="6ACCEA4B" w14:textId="77777777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>В то время как из практики следует, что в случае выявления нарушений лицензиатом  лицензионных требований, предусмотренных ч. 2 ст. 162 ЖК РФ, выразившихся в управлении МКД в отсутствии сведений об основании управления им в реестре, органы ГЖИ выдают лицензиату предписание о прекращении организации и ведения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начислению обязательных платежей и взносов, связанных с оплатой расходов на содержание и ремонт общего имущества в многоквартирном доме, оформлению платежных документов и направлению их собственникам, и пользователям помещений.</w:t>
      </w:r>
    </w:p>
    <w:p w14:paraId="41DA1BFA" w14:textId="45F38EF6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>Таких действий органы ГЖИ в отношении ООО «ТЭК-Дом» с 1 мая 2015 г. по настоящее время не осуществили.</w:t>
      </w:r>
    </w:p>
    <w:p w14:paraId="677029C6" w14:textId="2BC03EF9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>Напротив, из процессуальных докуме</w:t>
      </w:r>
      <w:r w:rsidR="00F244E8" w:rsidRPr="00F244E8">
        <w:rPr>
          <w:rFonts w:asciiTheme="minorHAnsi" w:eastAsia="Times New Roman CYR" w:hAnsiTheme="minorHAnsi" w:cstheme="minorHAnsi"/>
          <w:sz w:val="20"/>
          <w:szCs w:val="20"/>
        </w:rPr>
        <w:t>н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>тов, находящихся в открытом доступе, следует, что на протяжении всего периода времени (2015-2018 гг.), в течение которого вышеуказанные МКД находятся в ситуации двойных платежных документов, органы ГЖИ</w:t>
      </w:r>
      <w:r w:rsidRPr="00F244E8">
        <w:rPr>
          <w:rFonts w:asciiTheme="minorHAnsi" w:hAnsiTheme="minorHAnsi" w:cstheme="minorHAnsi"/>
          <w:sz w:val="20"/>
          <w:szCs w:val="20"/>
          <w:lang w:val="en-US"/>
        </w:rPr>
        <w:t> </w:t>
      </w:r>
      <w:r w:rsidRPr="00F244E8">
        <w:rPr>
          <w:rFonts w:asciiTheme="minorHAnsi" w:hAnsiTheme="minorHAnsi" w:cstheme="minorHAnsi"/>
          <w:sz w:val="20"/>
          <w:szCs w:val="20"/>
        </w:rPr>
        <w:t xml:space="preserve"> 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в ходе проверок и выявления фактов отдельных нарушений правил содержания и ремонта МКД, указывали в протоколах, в качестве лица, ответственного за надлежащее содержание и ремонт МКД и виновного в некачественном оказании жилищно-коммунальных услуг (далее -  ЖКУ), именно ООО «ТЭК-Дом».  </w:t>
      </w:r>
    </w:p>
    <w:p w14:paraId="54FF769B" w14:textId="77777777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Таким образом, позиция органов ГЖИ, обозначаемая в ответах жителям, в корне противоречит их же позиции, зафиксированной в официальных процессуальных документах. </w:t>
      </w:r>
    </w:p>
    <w:p w14:paraId="677604CD" w14:textId="6279314D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Кроме того, толкование, в силу которого отсутствие в реестре лицензий сведений означает безлицензионное, а следовательно, </w:t>
      </w:r>
      <w:r w:rsidR="00691A3C" w:rsidRPr="00F244E8">
        <w:rPr>
          <w:rFonts w:asciiTheme="minorHAnsi" w:eastAsia="Times New Roman CYR" w:hAnsiTheme="minorHAnsi" w:cstheme="minorHAnsi"/>
          <w:sz w:val="20"/>
          <w:szCs w:val="20"/>
        </w:rPr>
        <w:t>нелегитимное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 управление, не соответствует содержанию закона и противоречит положению части 1 статьи 192 ЖК РФ, не учитывает позицию Верховного Суда Российской Федерации, изложенную в п. 21 Обзора судебной практики, утвержденного Президиумом Верховного Суда Российской Федерации 25.11.2015 (в ред. от 28.03.2018), из которого следует, что «отсутствие в реестре лицензий сведений о многоквартирном доме, фактическую деятельность по управлению которым осуществляет лицензиат, само по себе не означает недействительность ранее выданной лицензии ... и не образует объективную сторону состава административного правонарушения».</w:t>
      </w:r>
    </w:p>
    <w:p w14:paraId="35A32D46" w14:textId="1DE7A153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Позиция органов ГЖИ о неправомерности выставления ООО «ТЭК-Дом» платежных </w:t>
      </w:r>
      <w:r w:rsidR="00691A3C" w:rsidRPr="00F244E8">
        <w:rPr>
          <w:rFonts w:asciiTheme="minorHAnsi" w:eastAsia="Times New Roman CYR" w:hAnsiTheme="minorHAnsi" w:cstheme="minorHAnsi"/>
          <w:sz w:val="20"/>
          <w:szCs w:val="20"/>
        </w:rPr>
        <w:t>документов</w:t>
      </w:r>
      <w:r w:rsidR="00691A3C" w:rsidRPr="00F244E8">
        <w:rPr>
          <w:rFonts w:asciiTheme="minorHAnsi" w:hAnsiTheme="minorHAnsi" w:cstheme="minorHAnsi"/>
          <w:sz w:val="20"/>
          <w:szCs w:val="20"/>
          <w:lang w:val="en-US"/>
        </w:rPr>
        <w:t> </w:t>
      </w:r>
      <w:r w:rsidR="00691A3C" w:rsidRPr="00F244E8">
        <w:rPr>
          <w:rFonts w:asciiTheme="minorHAnsi" w:hAnsiTheme="minorHAnsi" w:cstheme="minorHAnsi"/>
          <w:sz w:val="20"/>
          <w:szCs w:val="20"/>
        </w:rPr>
        <w:t>на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 оплату поставленных коммунальных услуг, по моему </w:t>
      </w:r>
      <w:r w:rsidR="00691A3C" w:rsidRPr="00F244E8">
        <w:rPr>
          <w:rFonts w:asciiTheme="minorHAnsi" w:eastAsia="Times New Roman CYR" w:hAnsiTheme="minorHAnsi" w:cstheme="minorHAnsi"/>
          <w:sz w:val="20"/>
          <w:szCs w:val="20"/>
        </w:rPr>
        <w:t>мнению,</w:t>
      </w:r>
      <w:r w:rsidR="00691A3C" w:rsidRPr="00F244E8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691A3C" w:rsidRPr="00691A3C">
        <w:rPr>
          <w:rFonts w:asciiTheme="minorHAnsi" w:hAnsiTheme="minorHAnsi" w:cstheme="minorHAnsi"/>
          <w:sz w:val="20"/>
          <w:szCs w:val="20"/>
          <w:lang w:val="en-US"/>
        </w:rPr>
        <w:t>противоречит</w:t>
      </w:r>
      <w:r w:rsidR="00691A3C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и </w:t>
      </w:r>
      <w:r w:rsidR="00691A3C" w:rsidRPr="00F244E8">
        <w:rPr>
          <w:rFonts w:asciiTheme="minorHAnsi" w:eastAsia="Times New Roman CYR" w:hAnsiTheme="minorHAnsi" w:cstheme="minorHAnsi"/>
          <w:sz w:val="20"/>
          <w:szCs w:val="20"/>
        </w:rPr>
        <w:t>определению</w:t>
      </w:r>
      <w:r w:rsidR="00691A3C" w:rsidRPr="00F244E8">
        <w:rPr>
          <w:rFonts w:asciiTheme="minorHAnsi" w:hAnsiTheme="minorHAnsi" w:cstheme="minorHAnsi"/>
          <w:sz w:val="20"/>
          <w:szCs w:val="20"/>
          <w:lang w:val="en-US"/>
        </w:rPr>
        <w:t> </w:t>
      </w:r>
      <w:r w:rsidR="00691A3C" w:rsidRPr="00F244E8">
        <w:rPr>
          <w:rFonts w:asciiTheme="minorHAnsi" w:hAnsiTheme="minorHAnsi" w:cstheme="minorHAnsi"/>
          <w:sz w:val="20"/>
          <w:szCs w:val="20"/>
        </w:rPr>
        <w:t>Верховного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 суда Российской Федерации (далее - ВС РФ) (№310-КГ17-16189 от 13.11.2017г.). </w:t>
      </w:r>
    </w:p>
    <w:p w14:paraId="500CB97C" w14:textId="77777777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>Из данного определения следует, что право на взимание платы не связано с исполнением обязанности по внесению изменений в реестр лицензий, а вытекает из условий договора управления (при наличии четко выраженной воли собственников на заключение договора с управляющей компанией, которая фактически предоставляла им коммунальные услуги, и расторжении договора с прежней).</w:t>
      </w:r>
    </w:p>
    <w:p w14:paraId="093C9480" w14:textId="2076DD25" w:rsidR="00F244E8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В этой связи признание платежных </w:t>
      </w:r>
      <w:r w:rsidR="00691A3C" w:rsidRPr="00F244E8">
        <w:rPr>
          <w:rFonts w:asciiTheme="minorHAnsi" w:eastAsia="Times New Roman CYR" w:hAnsiTheme="minorHAnsi" w:cstheme="minorHAnsi"/>
          <w:sz w:val="20"/>
          <w:szCs w:val="20"/>
        </w:rPr>
        <w:t>документов</w:t>
      </w:r>
      <w:r w:rsidR="00691A3C" w:rsidRPr="00F244E8">
        <w:rPr>
          <w:rFonts w:asciiTheme="minorHAnsi" w:hAnsiTheme="minorHAnsi" w:cstheme="minorHAnsi"/>
          <w:sz w:val="20"/>
          <w:szCs w:val="20"/>
          <w:lang w:val="en-US"/>
        </w:rPr>
        <w:t> </w:t>
      </w:r>
      <w:r w:rsidR="00691A3C" w:rsidRPr="00F244E8">
        <w:rPr>
          <w:rFonts w:asciiTheme="minorHAnsi" w:hAnsiTheme="minorHAnsi" w:cstheme="minorHAnsi"/>
          <w:sz w:val="20"/>
          <w:szCs w:val="20"/>
        </w:rPr>
        <w:t>ООО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 «ТЭК-Дом» незаконными приведет к незаконному освобождению собственников от оплаты потребленных услуг и бремени содержания имущества, тогда как нормы жилищного законодательства направлены, прежде всего, на обеспечение непрерывности осуществления деятельности по управлению и обслуживанию многоквартирных домов в целях соблюдения прав жильцов и безопасности эксплуатации многоквартирных домов. </w:t>
      </w:r>
    </w:p>
    <w:p w14:paraId="1334A8D6" w14:textId="7419B542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>Иной подход, то есть позиция органов ГЖИ о зависимости начала осуществления функций по управлению домом от внесения или невнесения в реестр лицензий не отвечает изложенным принципам.</w:t>
      </w:r>
    </w:p>
    <w:p w14:paraId="663DC499" w14:textId="77777777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lastRenderedPageBreak/>
        <w:t>Также, по моему мнению, органами ГЖИ не дается правовой оценки применительно к фактическим обстоятельствам сложившейся ситуации и другой немаловажной правовой норме.</w:t>
      </w:r>
    </w:p>
    <w:p w14:paraId="328D430A" w14:textId="77777777" w:rsidR="00F244E8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Согласно п. 14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управляющая организация, выбранная в установленном жилищным законодательством Российской Федерации порядке для управления МКД, приступает к предоставлению коммунальных услуг потребителям в многоквартирном доме... </w:t>
      </w:r>
    </w:p>
    <w:p w14:paraId="4A3C7297" w14:textId="7051B5DD" w:rsidR="00F244E8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с даты заключения договора управления многоквартирным домом, в том числе с управляющей организацией, выбранной органом местного самоуправления по итогам проведения открытого конкурса, </w:t>
      </w:r>
    </w:p>
    <w:p w14:paraId="6AAC1DE3" w14:textId="0C04D8DC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b/>
          <w:bCs/>
          <w:color w:val="000000"/>
          <w:sz w:val="20"/>
          <w:szCs w:val="20"/>
        </w:rPr>
        <w:t>но не ранее даты начала поставки коммунального ресурса по договору о приобретении коммунального ресурса, заключенному управляющей организацией с ресурсоснабжающей организацией.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</w:t>
      </w:r>
    </w:p>
    <w:p w14:paraId="6803746A" w14:textId="77777777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Исходя из этой правовой нормы, в связи с отсутствием у управляющей компании ООО «Чистый город» договора о приобретении коммунального ресурса (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в виде отопления, водоснабжения (ГВС, ХВС), водоотведения), дата начала реализации ею права управления вышеуказанными МКД остается неопределенной. </w:t>
      </w:r>
    </w:p>
    <w:p w14:paraId="6795F660" w14:textId="77777777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Отвечая на обращения собственников вышеуказанных МКД, органы ГЖИ доводят до их сведения положение п. 36 Постановления Пленума Верховного Суда Российской Федерации от 27.06.2017 № 22 </w:t>
      </w:r>
      <w:r w:rsidRPr="00F244E8">
        <w:rPr>
          <w:rFonts w:asciiTheme="minorHAnsi" w:hAnsiTheme="minorHAnsi" w:cstheme="minorHAnsi"/>
          <w:color w:val="000000"/>
          <w:sz w:val="20"/>
          <w:szCs w:val="20"/>
        </w:rPr>
        <w:t>«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</w:t>
      </w:r>
      <w:r w:rsidRPr="00F244E8">
        <w:rPr>
          <w:rFonts w:asciiTheme="minorHAnsi" w:hAnsiTheme="minorHAnsi" w:cstheme="minorHAnsi"/>
          <w:color w:val="000000"/>
          <w:sz w:val="20"/>
          <w:szCs w:val="20"/>
        </w:rPr>
        <w:t xml:space="preserve">», 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в котором указано, что при выборе новой управляющей организации надлежащим исполнением обязанности по оплате жилого помещения и коммунальных услуг является внесение платы этой управляющей организации при наличии заключенного договора управления многоквартирным домом.</w:t>
      </w:r>
    </w:p>
    <w:p w14:paraId="09BADA52" w14:textId="77777777" w:rsidR="00F244E8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Надлежащим исполнением обязательств по оплате жилого помещения и коммунальных услуг считается внесение платы предыдущей управляющей организации, если наниматель (собственник), действуя добросовестно при внесении платы, не обладал информацией о выборе новой управляющей организации (части 3 - 7.1, 8 - 10 статьи 155 ЖК РФ, статья 10 и пункт 1 статьи 408 ГК РФ). </w:t>
      </w:r>
    </w:p>
    <w:p w14:paraId="7F19A1FB" w14:textId="02ECA9CA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В таком случае, вновь выбранная управляющая организация, имеет право требовать взыскания с предыдущей управляющей организации уплаченных нанимателем (собственником) денежных средств по правилам, установленным </w:t>
      </w:r>
      <w:hyperlink r:id="rId4" w:history="1">
        <w:r w:rsidRPr="00F244E8">
          <w:rPr>
            <w:rFonts w:asciiTheme="minorHAnsi" w:eastAsia="Times New Roman CYR" w:hAnsiTheme="minorHAnsi" w:cstheme="minorHAnsi"/>
            <w:color w:val="000000"/>
            <w:sz w:val="20"/>
            <w:szCs w:val="20"/>
          </w:rPr>
          <w:t xml:space="preserve">главой </w:t>
        </w:r>
        <w:r w:rsidRPr="00F244E8">
          <w:rPr>
            <w:rFonts w:asciiTheme="minorHAnsi" w:hAnsiTheme="minorHAnsi" w:cstheme="minorHAnsi"/>
            <w:color w:val="000000"/>
            <w:sz w:val="20"/>
            <w:szCs w:val="20"/>
          </w:rPr>
          <w:t>60</w:t>
        </w:r>
      </w:hyperlink>
      <w:r w:rsidRPr="00F244E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ГК РФ. </w:t>
      </w:r>
    </w:p>
    <w:p w14:paraId="1568039C" w14:textId="4BE2219B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Однако, остается открытым вопрос, как указанное положение применительно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к сложившейся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ситуации защищает собственников от двойных взысканий оплаты за жилое помещение и коммунальные услуги. </w:t>
      </w:r>
    </w:p>
    <w:p w14:paraId="525F4107" w14:textId="1E244B27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В любом случае органы ГЖИ не должны ограничиваться доведением до жителей отдельных правовых норм, а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обязаны исполнять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возложенные на них задачи по пресечению нарушений в жилищной сфере, в частности принять меры по решению проблемы и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устранению двойных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платежных документов.</w:t>
      </w:r>
    </w:p>
    <w:p w14:paraId="2B4E7CB7" w14:textId="77777777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Стоит обратить внимание и на тот факт, что в настоящее время ситуация осложняется ростом социальной напряженности, обусловленной тем, что обе управляющие компании и ООО «Чистый Город» и ООО «ТЭК-Дом» предпринимают ограничение и приостановку коммунальных услуг за неуплату согласно</w:t>
      </w:r>
      <w:r w:rsidRPr="00F244E8">
        <w:rPr>
          <w:rFonts w:asciiTheme="minorHAnsi" w:hAnsiTheme="minorHAnsi" w:cstheme="minorHAnsi"/>
          <w:color w:val="000000"/>
          <w:sz w:val="20"/>
          <w:szCs w:val="20"/>
          <w:lang w:val="en-US"/>
        </w:rPr>
        <w:t> </w:t>
      </w:r>
      <w:r w:rsidRPr="00F244E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процедуре прописанной главой XI </w:t>
      </w:r>
      <w:r w:rsidRPr="00F244E8">
        <w:rPr>
          <w:rFonts w:asciiTheme="minorHAnsi" w:hAnsiTheme="minorHAnsi" w:cstheme="minorHAnsi"/>
          <w:color w:val="000000"/>
          <w:sz w:val="20"/>
          <w:szCs w:val="20"/>
        </w:rPr>
        <w:t>«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Приостановление или ограничение предоставления коммунальных услуг</w:t>
      </w:r>
      <w:r w:rsidRPr="00F244E8">
        <w:rPr>
          <w:rFonts w:asciiTheme="minorHAnsi" w:hAnsiTheme="minorHAnsi" w:cstheme="minorHAnsi"/>
          <w:color w:val="000000"/>
          <w:sz w:val="20"/>
          <w:szCs w:val="20"/>
        </w:rPr>
        <w:t xml:space="preserve">», 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домов", но ровно так,  как они, обе управляющие компании, эту процедуру понимают. </w:t>
      </w:r>
    </w:p>
    <w:p w14:paraId="7D1343C8" w14:textId="77777777" w:rsidR="0082205D" w:rsidRPr="00F244E8" w:rsidRDefault="00977276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Обе управляющие компании инициируют судебные разбирательства с жителями микрорайона, предусмотренные законодательством Российской Федерации, по взысканию денежных средств за оказанные ЖКУ. </w:t>
      </w:r>
    </w:p>
    <w:p w14:paraId="671C3E8C" w14:textId="500B6091" w:rsidR="0082205D" w:rsidRPr="00F244E8" w:rsidRDefault="00977276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При этом, судебные органы могут взыскивать денежные суммы за оплату ЖКУ с жителей как в пользу одной управляющей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компании, так в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пользу другой управляющей компании.  </w:t>
      </w:r>
    </w:p>
    <w:p w14:paraId="41987A78" w14:textId="4E9FC91C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В частности, здесь особо следует отметить апелляционное определение Московского городского суда по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делу №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33-30562/2018 от 12 июля 2018 года, где суд учел отсутствие лицензии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у ООО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</w:t>
      </w:r>
      <w:r w:rsidRPr="00F244E8">
        <w:rPr>
          <w:rFonts w:asciiTheme="minorHAnsi" w:hAnsiTheme="minorHAnsi" w:cstheme="minorHAnsi"/>
          <w:color w:val="000000"/>
          <w:sz w:val="20"/>
          <w:szCs w:val="20"/>
        </w:rPr>
        <w:t>«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ТЭК-Дом</w:t>
      </w:r>
      <w:r w:rsidRPr="00F244E8">
        <w:rPr>
          <w:rFonts w:asciiTheme="minorHAnsi" w:hAnsiTheme="minorHAnsi" w:cstheme="minorHAnsi"/>
          <w:color w:val="000000"/>
          <w:sz w:val="20"/>
          <w:szCs w:val="20"/>
        </w:rPr>
        <w:t xml:space="preserve">» 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и наличие лицензии у ООО «РЭП Немчиновка», на право управления домом, расположенным по адресу Московская область, Одинцовский район, г.п. Одинцово с. Немчиновка, ул. Связистов, д.5.</w:t>
      </w:r>
    </w:p>
    <w:p w14:paraId="119F1FDE" w14:textId="77777777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Однако суд посчитал, что это не лишает ООО «ТЭК Дом» в сложившихся фактических обстоятельствах, права управлять многоквартирным домом, а соответственно требовать оплату оказанных коммунальных услуг и постановил новое решение, которым решил взыскать с получателя коммунальных услуг в пользу ООО «ТЭК-Дом» задолженность, пени и расходы по госпошлине. </w:t>
      </w:r>
    </w:p>
    <w:p w14:paraId="20964C0F" w14:textId="77777777" w:rsidR="0082205D" w:rsidRPr="00F244E8" w:rsidRDefault="00977276" w:rsidP="00F244E8">
      <w:pPr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Таким образом, в условиях отсутствия процессуальных действий со стороны органов ГЖИ, судебные органы могут взыскивать оплату ЖКУ с жителей, оплативших один из двух платежных документов, в пользу управляющей компании, выставившей второй платежный документ.</w:t>
      </w:r>
    </w:p>
    <w:p w14:paraId="40F0AF12" w14:textId="77777777" w:rsidR="0082205D" w:rsidRPr="00F244E8" w:rsidRDefault="00977276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Управляющая организация в соответствии со ст. 10 ЖК РФ приобретает права и обязанности на управление домом только с момента вхождения в договорные отношения с собственниками помещений, а именно с момента начала исполнения обязательств ч.7 ст. 162 ЖК РФ.</w:t>
      </w:r>
    </w:p>
    <w:p w14:paraId="310026C5" w14:textId="5C434E55" w:rsidR="00F244E8" w:rsidRPr="00F244E8" w:rsidRDefault="00977276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Вопросы договорных отношений регулируются ч. 5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и ч.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13 ст. 161 ЖК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РФ, ст.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162 ЖК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РФ и так же вызывают немало вопросов у жителей.  </w:t>
      </w:r>
    </w:p>
    <w:p w14:paraId="66DB844D" w14:textId="77777777" w:rsidR="00F244E8" w:rsidRPr="00F244E8" w:rsidRDefault="00977276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В частности, с учетом фактических обстоятельств возникает вопрос: </w:t>
      </w:r>
    </w:p>
    <w:p w14:paraId="6C791449" w14:textId="1827BB4D" w:rsidR="0082205D" w:rsidRPr="00F244E8" w:rsidRDefault="00977276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lastRenderedPageBreak/>
        <w:t xml:space="preserve">применяется ли  к жителям указанных выше МКД положение ч. 13 ст. 161 ЖК РФ, согласно которому,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конкурсом, либо действует норма, предусмотренная ч. 5 ст. 161 ЖК РФ, согласно которой собственники помещений в многоквартирном доме обязаны заключить договор управления этим домом с управляющей организацией, выбранной по результатам предусмотренного </w:t>
      </w:r>
      <w:hyperlink r:id="rId5" w:history="1">
        <w:r w:rsidRPr="00F244E8">
          <w:rPr>
            <w:rFonts w:asciiTheme="minorHAnsi" w:eastAsia="Times New Roman CYR" w:hAnsiTheme="minorHAnsi" w:cstheme="minorHAnsi"/>
            <w:color w:val="000000"/>
            <w:sz w:val="20"/>
            <w:szCs w:val="20"/>
          </w:rPr>
          <w:t>ч.</w:t>
        </w:r>
        <w:r w:rsidRPr="00F244E8">
          <w:rPr>
            <w:rFonts w:asciiTheme="minorHAnsi" w:hAnsiTheme="minorHAnsi" w:cstheme="minorHAnsi"/>
            <w:color w:val="000000"/>
            <w:sz w:val="20"/>
            <w:szCs w:val="20"/>
          </w:rPr>
          <w:t>4</w:t>
        </w:r>
      </w:hyperlink>
      <w:r w:rsidRPr="00F244E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ст. 161 ЖК РФ открытого конкурса, в порядке, установленном статьей 445 Гражданского кодекса Российской Федерации.</w:t>
      </w:r>
    </w:p>
    <w:p w14:paraId="7C0C310C" w14:textId="77777777" w:rsidR="0082205D" w:rsidRPr="00F244E8" w:rsidRDefault="00977276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В любом случае в силу ч. 9 ст. 161 ЖК РФ, многоквартирный дом может управляться только одной управляющей организацией.</w:t>
      </w:r>
    </w:p>
    <w:p w14:paraId="7AC2955D" w14:textId="77777777" w:rsidR="0082205D" w:rsidRPr="00F244E8" w:rsidRDefault="0082205D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5E9024E" w14:textId="38DBDA37" w:rsidR="0082205D" w:rsidRPr="00F244E8" w:rsidRDefault="00977276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На основании изложенного выше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и руководствуясь действующим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Законодательством РФ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,  </w:t>
      </w:r>
    </w:p>
    <w:p w14:paraId="270A2502" w14:textId="77777777" w:rsidR="0082205D" w:rsidRPr="00F244E8" w:rsidRDefault="0082205D" w:rsidP="00F244E8">
      <w:pPr>
        <w:tabs>
          <w:tab w:val="left" w:pos="709"/>
          <w:tab w:val="left" w:pos="993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B3A79D2" w14:textId="77777777" w:rsidR="0082205D" w:rsidRPr="00F244E8" w:rsidRDefault="00977276" w:rsidP="00F244E8">
      <w:pPr>
        <w:tabs>
          <w:tab w:val="left" w:pos="709"/>
          <w:tab w:val="left" w:pos="993"/>
        </w:tabs>
        <w:jc w:val="both"/>
        <w:rPr>
          <w:rFonts w:asciiTheme="minorHAnsi" w:eastAsia="Times New Roman CYR" w:hAnsiTheme="minorHAnsi" w:cstheme="minorHAnsi"/>
          <w:b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b/>
          <w:sz w:val="20"/>
          <w:szCs w:val="20"/>
        </w:rPr>
        <w:t>ПРОШУ:</w:t>
      </w:r>
    </w:p>
    <w:p w14:paraId="1D603AB1" w14:textId="77777777" w:rsidR="0082205D" w:rsidRPr="00F244E8" w:rsidRDefault="0082205D" w:rsidP="00F244E8">
      <w:pPr>
        <w:tabs>
          <w:tab w:val="left" w:pos="709"/>
          <w:tab w:val="left" w:pos="993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FB86422" w14:textId="77777777" w:rsidR="0082205D" w:rsidRPr="00F244E8" w:rsidRDefault="00977276" w:rsidP="00F244E8">
      <w:pPr>
        <w:tabs>
          <w:tab w:val="left" w:pos="0"/>
          <w:tab w:val="left" w:pos="993"/>
          <w:tab w:val="left" w:pos="1276"/>
        </w:tabs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hAnsiTheme="minorHAnsi" w:cstheme="minorHAnsi"/>
          <w:sz w:val="20"/>
          <w:szCs w:val="20"/>
        </w:rPr>
        <w:t xml:space="preserve">1. 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>дать всесторонний ответ на все поставленные в настоящем обращении вопросы, в частности разъяснить:</w:t>
      </w:r>
    </w:p>
    <w:p w14:paraId="2FE618EF" w14:textId="2DEC8DAB" w:rsidR="0082205D" w:rsidRPr="00F244E8" w:rsidRDefault="00977276" w:rsidP="00F244E8">
      <w:pPr>
        <w:tabs>
          <w:tab w:val="left" w:pos="993"/>
          <w:tab w:val="left" w:pos="1276"/>
        </w:tabs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hAnsiTheme="minorHAnsi" w:cstheme="minorHAnsi"/>
          <w:sz w:val="20"/>
          <w:szCs w:val="20"/>
        </w:rPr>
        <w:t xml:space="preserve">- 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имело ли право ООО «Чистый город» приступить к </w:t>
      </w:r>
      <w:r w:rsidR="00691A3C" w:rsidRPr="00F244E8">
        <w:rPr>
          <w:rFonts w:asciiTheme="minorHAnsi" w:eastAsia="Times New Roman CYR" w:hAnsiTheme="minorHAnsi" w:cstheme="minorHAnsi"/>
          <w:sz w:val="20"/>
          <w:szCs w:val="20"/>
        </w:rPr>
        <w:t>управлению указанными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 выше МКД без заключения договора с РСО;  </w:t>
      </w:r>
    </w:p>
    <w:p w14:paraId="29576596" w14:textId="1376DEBB" w:rsidR="0082205D" w:rsidRPr="00F244E8" w:rsidRDefault="00977276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color w:val="0A0B0B"/>
          <w:sz w:val="20"/>
          <w:szCs w:val="20"/>
        </w:rPr>
      </w:pPr>
      <w:r w:rsidRPr="00F244E8">
        <w:rPr>
          <w:rFonts w:asciiTheme="minorHAnsi" w:hAnsiTheme="minorHAnsi" w:cstheme="minorHAnsi"/>
          <w:sz w:val="20"/>
          <w:szCs w:val="20"/>
        </w:rPr>
        <w:t xml:space="preserve">- 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считается ли заключенным договор между жителем (собственником или лицом, принявшим жилое помещение от застройщика) указанных выше МКД с ООО «Чистый город», </w:t>
      </w:r>
      <w:r w:rsidRPr="00F244E8">
        <w:rPr>
          <w:rFonts w:asciiTheme="minorHAnsi" w:eastAsia="Times New Roman CYR" w:hAnsiTheme="minorHAnsi" w:cstheme="minorHAnsi"/>
          <w:color w:val="0A0B0B"/>
          <w:sz w:val="20"/>
          <w:szCs w:val="20"/>
        </w:rPr>
        <w:t xml:space="preserve">если </w:t>
      </w:r>
      <w:r w:rsidRPr="00F244E8">
        <w:rPr>
          <w:rFonts w:asciiTheme="minorHAnsi" w:eastAsia="Times New Roman CYR" w:hAnsiTheme="minorHAnsi" w:cstheme="minorHAnsi"/>
          <w:color w:val="262626"/>
          <w:sz w:val="20"/>
          <w:szCs w:val="20"/>
        </w:rPr>
        <w:t>в течение двух месяцев со дня проведения открытого конкурса житель (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>собственник или лицо, принявшее жилое помещение от застройщика</w:t>
      </w:r>
      <w:r w:rsidRPr="00F244E8">
        <w:rPr>
          <w:rFonts w:asciiTheme="minorHAnsi" w:eastAsia="Times New Roman CYR" w:hAnsiTheme="minorHAnsi" w:cstheme="minorHAnsi"/>
          <w:color w:val="262626"/>
          <w:sz w:val="20"/>
          <w:szCs w:val="20"/>
        </w:rPr>
        <w:t xml:space="preserve">) не заключил договор управления с управляющей организацией, на условиях, определенных открытым конкурсом, либо необходимо заключение договора управления в порядке, предусмотренном ст. </w:t>
      </w:r>
      <w:r w:rsidR="00691A3C" w:rsidRPr="00F244E8">
        <w:rPr>
          <w:rFonts w:asciiTheme="minorHAnsi" w:eastAsia="Times New Roman CYR" w:hAnsiTheme="minorHAnsi" w:cstheme="minorHAnsi"/>
          <w:color w:val="262626"/>
          <w:sz w:val="20"/>
          <w:szCs w:val="20"/>
        </w:rPr>
        <w:t>445 ГК</w:t>
      </w:r>
      <w:r w:rsidRPr="00F244E8">
        <w:rPr>
          <w:rFonts w:asciiTheme="minorHAnsi" w:eastAsia="Times New Roman CYR" w:hAnsiTheme="minorHAnsi" w:cstheme="minorHAnsi"/>
          <w:color w:val="262626"/>
          <w:sz w:val="20"/>
          <w:szCs w:val="20"/>
        </w:rPr>
        <w:t xml:space="preserve"> РФ;</w:t>
      </w:r>
    </w:p>
    <w:p w14:paraId="18E10063" w14:textId="77777777" w:rsidR="0082205D" w:rsidRPr="00F244E8" w:rsidRDefault="00977276" w:rsidP="00F244E8">
      <w:pPr>
        <w:tabs>
          <w:tab w:val="left" w:pos="851"/>
          <w:tab w:val="left" w:pos="993"/>
          <w:tab w:val="left" w:pos="1276"/>
        </w:tabs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hAnsiTheme="minorHAnsi" w:cstheme="minorHAnsi"/>
          <w:sz w:val="20"/>
          <w:szCs w:val="20"/>
        </w:rPr>
        <w:t xml:space="preserve">- 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>следует ли оплачивать коммунальные ресурсы, поставляемые ООО «ТЭК-Дом» в виде отопления, водоснабжения (ГВС, ХВС), водоотведения или не следует, а если следует, то по каким платежным документам;</w:t>
      </w:r>
    </w:p>
    <w:p w14:paraId="0AD8A817" w14:textId="77777777" w:rsidR="0082205D" w:rsidRPr="00F244E8" w:rsidRDefault="00977276" w:rsidP="00F244E8">
      <w:pPr>
        <w:tabs>
          <w:tab w:val="left" w:pos="0"/>
          <w:tab w:val="left" w:pos="993"/>
          <w:tab w:val="left" w:pos="1276"/>
        </w:tabs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hAnsiTheme="minorHAnsi" w:cstheme="minorHAnsi"/>
          <w:sz w:val="20"/>
          <w:szCs w:val="20"/>
        </w:rPr>
        <w:t xml:space="preserve">- 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какой управляющей компании следует оплачивать коммунальный ресурс в виде потребленной электроэнергии, с учетом, того, что указанный коммунальный ресурс фигурирует в платежных документах обеих управляющих компаний; </w:t>
      </w:r>
    </w:p>
    <w:p w14:paraId="34B530D4" w14:textId="77777777" w:rsidR="0082205D" w:rsidRPr="00F244E8" w:rsidRDefault="00977276" w:rsidP="00F244E8">
      <w:p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</w:tabs>
        <w:ind w:firstLine="851"/>
        <w:jc w:val="both"/>
        <w:rPr>
          <w:rFonts w:asciiTheme="minorHAnsi" w:eastAsia="Times New Roman CYR" w:hAnsiTheme="minorHAnsi" w:cstheme="minorHAnsi"/>
          <w:color w:val="000000"/>
          <w:sz w:val="20"/>
          <w:szCs w:val="20"/>
        </w:rPr>
      </w:pPr>
      <w:r w:rsidRPr="00F244E8">
        <w:rPr>
          <w:rFonts w:asciiTheme="minorHAnsi" w:hAnsiTheme="minorHAnsi" w:cstheme="minorHAnsi"/>
          <w:sz w:val="20"/>
          <w:szCs w:val="20"/>
        </w:rPr>
        <w:t xml:space="preserve">- 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>возможно ли двойное взыскание с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собственников оплаты за жилое помещение и коммунальные услуги; </w:t>
      </w:r>
    </w:p>
    <w:p w14:paraId="261F10E1" w14:textId="34B4217C" w:rsidR="0082205D" w:rsidRPr="00F244E8" w:rsidRDefault="00977276" w:rsidP="00F244E8">
      <w:p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</w:tabs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обращались ли органы ГЖИ в правоохранительные органы или в иные государственные органы для разрешения сложившейся ситуации, а если подобные обращения были, предоставить копии этих </w:t>
      </w:r>
      <w:r w:rsidR="00691A3C"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>обращений и</w:t>
      </w:r>
      <w:r w:rsidRPr="00F244E8">
        <w:rPr>
          <w:rFonts w:asciiTheme="minorHAnsi" w:eastAsia="Times New Roman CYR" w:hAnsiTheme="minorHAnsi" w:cstheme="minorHAnsi"/>
          <w:color w:val="000000"/>
          <w:sz w:val="20"/>
          <w:szCs w:val="20"/>
        </w:rPr>
        <w:t xml:space="preserve"> ответов на них.</w:t>
      </w:r>
    </w:p>
    <w:p w14:paraId="10D755BE" w14:textId="77777777" w:rsidR="0082205D" w:rsidRPr="00F244E8" w:rsidRDefault="00977276" w:rsidP="00F244E8">
      <w:p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</w:tabs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hAnsiTheme="minorHAnsi" w:cstheme="minorHAnsi"/>
          <w:sz w:val="20"/>
          <w:szCs w:val="20"/>
        </w:rPr>
        <w:t xml:space="preserve">2. 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>Провести проверку платежных документов, выставляемых обеими управляющими компаниями, в части их законности и на предмет соответствия требованиям жилищного законодательства РФ, и принять меры к устранению незаконно выставленных платежных документов на оплату жилищно- коммунальных услуг.</w:t>
      </w:r>
    </w:p>
    <w:p w14:paraId="300110DF" w14:textId="77777777" w:rsidR="0082205D" w:rsidRPr="00F244E8" w:rsidRDefault="00977276" w:rsidP="00F244E8">
      <w:p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</w:tabs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>В случае выявления нарушений лицензиатом  лицензионных требований, предусмотренных ч. 2 ст. 162 ЖК РФ, выразившихся в управлении МКД в отсутствии сведений об основании управления им в реестре выдать лицензиату предписание о прекращении организации и ведения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начислению обязательных платежей и взносов, связанных с оплатой расходов на содержание и ремонт общего имущества в многоквартирном доме, оформлению платежных документов и направлению их собственникам, и пользователям помещений.</w:t>
      </w:r>
    </w:p>
    <w:p w14:paraId="33F1135A" w14:textId="1AD5CADE" w:rsidR="0082205D" w:rsidRPr="00F244E8" w:rsidRDefault="00977276" w:rsidP="00F244E8">
      <w:p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</w:tabs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hAnsiTheme="minorHAnsi" w:cstheme="minorHAnsi"/>
          <w:sz w:val="20"/>
          <w:szCs w:val="20"/>
        </w:rPr>
        <w:t xml:space="preserve">3. 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Представить копии конкретных процессуальных документов, подтверждающих реагирование органов ГЖИ на сложившуюся ситуацию, а именно: акты проверок, предписания об устранении допущенных нарушений, протокол о возбуждении дела об административном правонарушении, постановление по </w:t>
      </w:r>
      <w:r w:rsidR="00691A3C" w:rsidRPr="00F244E8">
        <w:rPr>
          <w:rFonts w:asciiTheme="minorHAnsi" w:eastAsia="Times New Roman CYR" w:hAnsiTheme="minorHAnsi" w:cstheme="minorHAnsi"/>
          <w:sz w:val="20"/>
          <w:szCs w:val="20"/>
        </w:rPr>
        <w:t>делу об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 административном правонарушении.  </w:t>
      </w:r>
    </w:p>
    <w:p w14:paraId="42804374" w14:textId="6BCBCCB5" w:rsidR="0082205D" w:rsidRPr="00F244E8" w:rsidRDefault="00977276" w:rsidP="00F244E8">
      <w:p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</w:tabs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hAnsiTheme="minorHAnsi" w:cstheme="minorHAnsi"/>
          <w:sz w:val="20"/>
          <w:szCs w:val="20"/>
        </w:rPr>
        <w:t xml:space="preserve">4. 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Провести проверку действий должностных лиц 17 территориального отдела ГЖИ МО, допустивших сложившуюся ситуацию, противоречащую Законодательству РФ, создающую социальную </w:t>
      </w:r>
      <w:r w:rsidR="00691A3C" w:rsidRPr="00F244E8">
        <w:rPr>
          <w:rFonts w:asciiTheme="minorHAnsi" w:eastAsia="Times New Roman CYR" w:hAnsiTheme="minorHAnsi" w:cstheme="minorHAnsi"/>
          <w:sz w:val="20"/>
          <w:szCs w:val="20"/>
        </w:rPr>
        <w:t>напряженность и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 подрывающую доверие к органам государственной власти. В случае подтверждения фактов ненадлежащего исполнения обязанностей привлечь виновных должностных лиц 17 территориального отдела ГЖИ МО к ответственности.</w:t>
      </w:r>
    </w:p>
    <w:p w14:paraId="4DA89839" w14:textId="77777777" w:rsidR="0082205D" w:rsidRPr="00F244E8" w:rsidRDefault="0082205D" w:rsidP="00F244E8">
      <w:pPr>
        <w:tabs>
          <w:tab w:val="left" w:pos="709"/>
          <w:tab w:val="left" w:pos="993"/>
          <w:tab w:val="left" w:pos="1276"/>
        </w:tabs>
        <w:ind w:firstLine="851"/>
        <w:jc w:val="both"/>
        <w:rPr>
          <w:rFonts w:asciiTheme="minorHAnsi" w:hAnsiTheme="minorHAnsi" w:cstheme="minorHAnsi"/>
          <w:sz w:val="20"/>
          <w:szCs w:val="20"/>
        </w:rPr>
      </w:pPr>
    </w:p>
    <w:p w14:paraId="57E4AFCD" w14:textId="6A2688A6" w:rsidR="0082205D" w:rsidRPr="00F244E8" w:rsidRDefault="00977276" w:rsidP="00F244E8">
      <w:pPr>
        <w:tabs>
          <w:tab w:val="left" w:pos="709"/>
          <w:tab w:val="left" w:pos="993"/>
        </w:tabs>
        <w:ind w:firstLine="851"/>
        <w:jc w:val="both"/>
        <w:rPr>
          <w:rFonts w:asciiTheme="minorHAnsi" w:eastAsia="Times New Roman CYR" w:hAnsiTheme="minorHAnsi" w:cstheme="minorHAnsi"/>
          <w:sz w:val="20"/>
          <w:szCs w:val="20"/>
        </w:rPr>
      </w:pP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Информирую Вас, что в случае </w:t>
      </w:r>
      <w:r w:rsidR="00691A3C" w:rsidRPr="00F244E8">
        <w:rPr>
          <w:rFonts w:asciiTheme="minorHAnsi" w:eastAsia="Times New Roman CYR" w:hAnsiTheme="minorHAnsi" w:cstheme="minorHAnsi"/>
          <w:sz w:val="20"/>
          <w:szCs w:val="20"/>
        </w:rPr>
        <w:t>непринятия Вами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 мер немедленного реагирования, направленных на возвращение </w:t>
      </w:r>
      <w:r w:rsidR="00691A3C" w:rsidRPr="00F244E8">
        <w:rPr>
          <w:rFonts w:asciiTheme="minorHAnsi" w:eastAsia="Times New Roman CYR" w:hAnsiTheme="minorHAnsi" w:cstheme="minorHAnsi"/>
          <w:sz w:val="20"/>
          <w:szCs w:val="20"/>
        </w:rPr>
        <w:t>ситуации в</w:t>
      </w:r>
      <w:r w:rsidRPr="00F244E8">
        <w:rPr>
          <w:rFonts w:asciiTheme="minorHAnsi" w:eastAsia="Times New Roman CYR" w:hAnsiTheme="minorHAnsi" w:cstheme="minorHAnsi"/>
          <w:sz w:val="20"/>
          <w:szCs w:val="20"/>
        </w:rPr>
        <w:t xml:space="preserve"> правовое поле, я оставляю за собой право на соответствующее обращение в правоохранительные органы с просьбой привлечь должностных лиц органов ГЖИ к уголовной ответственности за неисполнение своих должностных обязанностей.   </w:t>
      </w:r>
    </w:p>
    <w:p w14:paraId="7B39374B" w14:textId="77777777" w:rsidR="0082205D" w:rsidRPr="00F244E8" w:rsidRDefault="0082205D" w:rsidP="00F244E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0B20B2" w14:textId="77777777" w:rsidR="0082205D" w:rsidRPr="00F244E8" w:rsidRDefault="0082205D" w:rsidP="00F244E8">
      <w:pPr>
        <w:ind w:right="-185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sectPr w:rsidR="0082205D" w:rsidRPr="00F244E8" w:rsidSect="00F244E8">
      <w:endnotePr>
        <w:numFmt w:val="decimal"/>
      </w:endnotePr>
      <w:pgSz w:w="12240" w:h="15840"/>
      <w:pgMar w:top="462" w:right="850" w:bottom="675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5D"/>
    <w:rsid w:val="00691A3C"/>
    <w:rsid w:val="006948F1"/>
    <w:rsid w:val="0082205D"/>
    <w:rsid w:val="00977276"/>
    <w:rsid w:val="00F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266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47;&#1072;&#1075;&#1088;&#1091;&#1079;&#1082;&#1080;\Telegram%20Desktop\041\%22&#1095;.HYPERLINK%20%22http:\www.consultant.ru\document\cons_doc_LAW_314928\71c7149b7b2a7693ca3f88b93580da0a5376e041\%22%204" TargetMode="External"/><Relationship Id="rId4" Type="http://schemas.openxmlformats.org/officeDocument/2006/relationships/hyperlink" Target="file:///D:\razdel-iv\glava-60\%22&#1075;&#1083;&#1072;&#1074;&#1086;&#1080;&#774;%2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occhio</dc:creator>
  <cp:keywords/>
  <dc:description/>
  <cp:lastModifiedBy>dark-greg@yandex.ru</cp:lastModifiedBy>
  <cp:revision>2</cp:revision>
  <dcterms:created xsi:type="dcterms:W3CDTF">2019-01-13T09:11:00Z</dcterms:created>
  <dcterms:modified xsi:type="dcterms:W3CDTF">2019-01-13T09:11:00Z</dcterms:modified>
</cp:coreProperties>
</file>